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4E" w:rsidRPr="00FF5828" w:rsidRDefault="000C3C4E" w:rsidP="008C4AC7">
      <w:pPr>
        <w:pStyle w:val="Heading1"/>
        <w:rPr>
          <w:rStyle w:val="BookTitle"/>
        </w:rPr>
      </w:pPr>
      <w:bookmarkStart w:id="0" w:name="_electricite_GENERALE_"/>
      <w:bookmarkEnd w:id="0"/>
      <w:r w:rsidRPr="00FF5828">
        <w:rPr>
          <w:rStyle w:val="BookTitle"/>
        </w:rPr>
        <w:t>electr</w:t>
      </w:r>
      <w:r w:rsidR="008C4AC7" w:rsidRPr="00FF5828">
        <w:rPr>
          <w:rStyle w:val="BookTitle"/>
        </w:rPr>
        <w:t>i</w:t>
      </w:r>
      <w:r w:rsidRPr="00FF5828">
        <w:rPr>
          <w:rStyle w:val="BookTitle"/>
        </w:rPr>
        <w:t xml:space="preserve">cite GENERALE </w:t>
      </w:r>
      <w:r w:rsidRPr="00FF5828">
        <w:rPr>
          <w:rStyle w:val="BookTitle"/>
        </w:rPr>
        <w:br/>
        <w:t xml:space="preserve">(60 périodes) </w:t>
      </w:r>
    </w:p>
    <w:p w:rsidR="001E0189" w:rsidRPr="00330890" w:rsidRDefault="001E0189" w:rsidP="001E0189">
      <w:pPr>
        <w:pStyle w:val="Heading2"/>
        <w:rPr>
          <w:rFonts w:ascii="Times New Roman" w:hAnsi="Times New Roman" w:cs="Times New Roman"/>
          <w:sz w:val="24"/>
          <w:szCs w:val="24"/>
          <w:lang w:eastAsia="fr-FR"/>
        </w:rPr>
      </w:pPr>
      <w:r w:rsidRPr="00330890">
        <w:rPr>
          <w:rFonts w:ascii="Times New Roman" w:hAnsi="Times New Roman" w:cs="Times New Roman"/>
          <w:sz w:val="24"/>
          <w:szCs w:val="24"/>
          <w:lang w:eastAsia="fr-FR"/>
        </w:rPr>
        <w:t>Contenu</w:t>
      </w: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>Chapitre 1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>Definitions et parametres des circuits</w:t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</w:rPr>
        <w:t xml:space="preserve"> </w:t>
      </w:r>
      <w:r w:rsidRPr="00377908">
        <w:rPr>
          <w:rFonts w:ascii="Times New Roman" w:hAnsi="Times New Roman" w:cs="Times New Roman"/>
        </w:rPr>
        <w:tab/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1.1</w:t>
      </w:r>
      <w:r w:rsidRPr="00AF6175">
        <w:rPr>
          <w:rFonts w:cs="Times New Roman"/>
          <w:sz w:val="24"/>
          <w:lang w:val="fr-FR" w:eastAsia="fr-FR"/>
        </w:rPr>
        <w:tab/>
        <w:t>Loi de Coulomb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1.2</w:t>
      </w:r>
      <w:r w:rsidRPr="00AF6175">
        <w:rPr>
          <w:rFonts w:cs="Times New Roman"/>
          <w:sz w:val="24"/>
          <w:lang w:val="fr-FR" w:eastAsia="fr-FR"/>
        </w:rPr>
        <w:tab/>
        <w:t>Association des dipôles R, L, et C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1.3</w:t>
      </w:r>
      <w:r w:rsidRPr="00AF6175">
        <w:rPr>
          <w:rFonts w:cs="Times New Roman"/>
          <w:sz w:val="24"/>
          <w:lang w:val="fr-FR" w:eastAsia="fr-FR"/>
        </w:rPr>
        <w:tab/>
        <w:t>Sources de tensions et de courant en continu et en alternatif (valeur moyenne, valeur efficace,...)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1.4</w:t>
      </w:r>
      <w:r w:rsidRPr="00AF6175">
        <w:rPr>
          <w:rFonts w:cs="Times New Roman"/>
          <w:sz w:val="24"/>
          <w:lang w:val="fr-FR" w:eastAsia="fr-FR"/>
        </w:rPr>
        <w:tab/>
        <w:t>Notion de déphasage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1.5</w:t>
      </w:r>
      <w:r w:rsidRPr="00AF6175">
        <w:rPr>
          <w:rFonts w:cs="Times New Roman"/>
          <w:sz w:val="24"/>
          <w:lang w:val="fr-FR" w:eastAsia="fr-FR"/>
        </w:rPr>
        <w:tab/>
        <w:t>Applications des quantités complexes aux excitations alternatives (représentations cinématique, vectorielle et complexe)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1.6  Excitations transitoires (échelon, rampe et impulsion).</w:t>
      </w: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>Chapitre 2</w:t>
      </w:r>
      <w:r w:rsidRPr="00377908">
        <w:rPr>
          <w:rFonts w:ascii="Times New Roman" w:hAnsi="Times New Roman" w:cs="Times New Roman"/>
          <w:u w:val="single"/>
        </w:rPr>
        <w:br/>
      </w:r>
      <w:r w:rsidR="00ED40D5">
        <w:rPr>
          <w:rFonts w:ascii="Times New Roman" w:hAnsi="Times New Roman" w:cs="Times New Roman"/>
        </w:rPr>
        <w:t xml:space="preserve">      </w:t>
      </w:r>
      <w:r w:rsidRPr="00377908">
        <w:rPr>
          <w:rFonts w:ascii="Times New Roman" w:hAnsi="Times New Roman" w:cs="Times New Roman"/>
        </w:rPr>
        <w:t xml:space="preserve">Les theoremes et lois relatifs aux circuits </w:t>
      </w:r>
      <w:r w:rsidRPr="00377908">
        <w:rPr>
          <w:rFonts w:ascii="Times New Roman" w:hAnsi="Times New Roman" w:cs="Times New Roman"/>
        </w:rPr>
        <w:tab/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</w:t>
      </w:r>
      <w:r w:rsidRPr="00AF6175">
        <w:rPr>
          <w:rFonts w:cs="Times New Roman"/>
          <w:sz w:val="24"/>
          <w:lang w:val="fr-FR" w:eastAsia="fr-FR"/>
        </w:rPr>
        <w:tab/>
        <w:t>Loi d’Ohm généralisée en régime variable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2.1.1</w:t>
      </w:r>
      <w:r w:rsidRPr="00AF6175">
        <w:rPr>
          <w:rFonts w:cs="Times New Roman"/>
          <w:sz w:val="24"/>
          <w:lang w:val="fr-FR" w:eastAsia="fr-FR"/>
        </w:rPr>
        <w:tab/>
        <w:t>Puissance instantanée (apparente, active et réactive)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2.1.2</w:t>
      </w:r>
      <w:r w:rsidRPr="00AF6175">
        <w:rPr>
          <w:rFonts w:cs="Times New Roman"/>
          <w:sz w:val="24"/>
          <w:lang w:val="fr-FR" w:eastAsia="fr-FR"/>
        </w:rPr>
        <w:tab/>
        <w:t>Loi de Kirchhoff (nœuds et mailles)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2.1.3</w:t>
      </w:r>
      <w:r w:rsidRPr="00AF6175">
        <w:rPr>
          <w:rFonts w:cs="Times New Roman"/>
          <w:sz w:val="24"/>
          <w:lang w:val="fr-FR" w:eastAsia="fr-FR"/>
        </w:rPr>
        <w:tab/>
        <w:t>Règle sur les matrices et déterminants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2.1.4</w:t>
      </w:r>
      <w:r w:rsidRPr="00AF6175">
        <w:rPr>
          <w:rFonts w:cs="Times New Roman"/>
          <w:sz w:val="24"/>
          <w:lang w:val="fr-FR" w:eastAsia="fr-FR"/>
        </w:rPr>
        <w:tab/>
        <w:t>Règle de Cramer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 xml:space="preserve">2.1.5 </w:t>
      </w:r>
      <w:r w:rsidRPr="00AF6175">
        <w:rPr>
          <w:rFonts w:cs="Times New Roman"/>
          <w:sz w:val="24"/>
          <w:lang w:val="fr-FR" w:eastAsia="fr-FR"/>
        </w:rPr>
        <w:tab/>
        <w:t>Analyse des circuits par la loi des mailles indépendantes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 xml:space="preserve">2.1.6 </w:t>
      </w:r>
      <w:r w:rsidRPr="00AF6175">
        <w:rPr>
          <w:rFonts w:cs="Times New Roman"/>
          <w:sz w:val="24"/>
          <w:lang w:val="fr-FR" w:eastAsia="fr-FR"/>
        </w:rPr>
        <w:tab/>
        <w:t>Analyse nodale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 xml:space="preserve">2.1.7 </w:t>
      </w:r>
      <w:r w:rsidRPr="00AF6175">
        <w:rPr>
          <w:rFonts w:cs="Times New Roman"/>
          <w:sz w:val="24"/>
          <w:lang w:val="fr-FR" w:eastAsia="fr-FR"/>
        </w:rPr>
        <w:tab/>
        <w:t>Impédance d’entrée et de sortie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 xml:space="preserve">2.1.8 </w:t>
      </w:r>
      <w:r w:rsidRPr="00AF6175">
        <w:rPr>
          <w:rFonts w:cs="Times New Roman"/>
          <w:sz w:val="24"/>
          <w:lang w:val="fr-FR" w:eastAsia="fr-FR"/>
        </w:rPr>
        <w:tab/>
        <w:t xml:space="preserve">Transformation  </w:t>
      </w:r>
      <w:r w:rsidRPr="00AF6175">
        <w:rPr>
          <w:rFonts w:cs="Times New Roman"/>
          <w:sz w:val="24"/>
          <w:lang w:val="fr-FR"/>
        </w:rPr>
        <w:sym w:font="Symbol" w:char="F044"/>
      </w:r>
      <w:r w:rsidRPr="00AF6175">
        <w:rPr>
          <w:rFonts w:cs="Times New Roman"/>
          <w:sz w:val="24"/>
          <w:lang w:val="fr-FR"/>
        </w:rPr>
        <w:sym w:font="Symbol" w:char="F02D"/>
      </w:r>
      <w:r w:rsidRPr="00AF6175">
        <w:rPr>
          <w:rFonts w:cs="Times New Roman"/>
          <w:sz w:val="24"/>
          <w:lang w:val="fr-FR"/>
        </w:rPr>
        <w:sym w:font="Symbol" w:char="F055"/>
      </w:r>
      <w:r w:rsidRPr="00AF6175">
        <w:rPr>
          <w:rFonts w:cs="Times New Roman"/>
          <w:sz w:val="24"/>
          <w:lang w:val="fr-FR" w:eastAsia="fr-FR"/>
        </w:rPr>
        <w:t xml:space="preserve"> et  </w:t>
      </w:r>
      <w:r w:rsidRPr="00AF6175">
        <w:rPr>
          <w:rFonts w:cs="Times New Roman"/>
          <w:sz w:val="24"/>
          <w:lang w:val="fr-FR"/>
        </w:rPr>
        <w:sym w:font="Symbol" w:char="F055"/>
      </w:r>
      <w:r w:rsidRPr="00AF6175">
        <w:rPr>
          <w:rFonts w:cs="Times New Roman"/>
          <w:sz w:val="24"/>
          <w:lang w:val="fr-FR"/>
        </w:rPr>
        <w:sym w:font="Symbol" w:char="F02D"/>
      </w:r>
      <w:r w:rsidRPr="00AF6175">
        <w:rPr>
          <w:rFonts w:cs="Times New Roman"/>
          <w:sz w:val="24"/>
          <w:lang w:val="fr-FR"/>
        </w:rPr>
        <w:sym w:font="Symbol" w:char="F044"/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 xml:space="preserve">2.1.9 </w:t>
      </w:r>
      <w:r w:rsidRPr="00AF6175">
        <w:rPr>
          <w:rFonts w:cs="Times New Roman"/>
          <w:sz w:val="24"/>
          <w:lang w:val="fr-FR" w:eastAsia="fr-FR"/>
        </w:rPr>
        <w:tab/>
        <w:t>Théorèmes de superposition,</w:t>
      </w:r>
      <w:r>
        <w:rPr>
          <w:rFonts w:cs="Times New Roman"/>
          <w:sz w:val="24"/>
          <w:lang w:val="fr-FR" w:eastAsia="fr-FR"/>
        </w:rPr>
        <w:t xml:space="preserve"> The</w:t>
      </w:r>
      <w:r w:rsidRPr="00AF6175">
        <w:rPr>
          <w:rFonts w:cs="Times New Roman"/>
          <w:sz w:val="24"/>
          <w:lang w:val="fr-FR" w:eastAsia="fr-FR"/>
        </w:rPr>
        <w:t>venin et Norton,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2.1.10 Réciprocité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2.1.11 Compensation</w:t>
      </w:r>
    </w:p>
    <w:p w:rsidR="001E0189" w:rsidRPr="00AF6175" w:rsidRDefault="001E0189" w:rsidP="001E0189">
      <w:pPr>
        <w:ind w:left="114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2.1.12 Transfert optimal de puissance</w:t>
      </w: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>Chapitre 3</w:t>
      </w:r>
      <w:r w:rsidRPr="00377908">
        <w:rPr>
          <w:rFonts w:ascii="Times New Roman" w:hAnsi="Times New Roman" w:cs="Times New Roman"/>
          <w:u w:val="single"/>
        </w:rPr>
        <w:br/>
      </w:r>
      <w:r w:rsidR="00ED40D5">
        <w:rPr>
          <w:rFonts w:ascii="Times New Roman" w:hAnsi="Times New Roman" w:cs="Times New Roman"/>
        </w:rPr>
        <w:t xml:space="preserve">  </w:t>
      </w:r>
      <w:r w:rsidRPr="00377908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egime transitoire (circuits à C</w:t>
      </w:r>
      <w:r w:rsidRPr="00377908">
        <w:rPr>
          <w:rFonts w:ascii="Times New Roman" w:hAnsi="Times New Roman" w:cs="Times New Roman"/>
        </w:rPr>
        <w:t>C)</w:t>
      </w:r>
      <w:r w:rsidRPr="00377908">
        <w:rPr>
          <w:rFonts w:ascii="Times New Roman" w:hAnsi="Times New Roman" w:cs="Times New Roman"/>
        </w:rPr>
        <w:tab/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3.1</w:t>
      </w:r>
      <w:r w:rsidRPr="00AF6175">
        <w:rPr>
          <w:rFonts w:cs="Times New Roman"/>
          <w:sz w:val="24"/>
          <w:lang w:val="fr-FR" w:eastAsia="fr-FR"/>
        </w:rPr>
        <w:tab/>
        <w:t xml:space="preserve">Systèmes du premier ordre RL, RC </w:t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3.2</w:t>
      </w:r>
      <w:r w:rsidRPr="00AF6175">
        <w:rPr>
          <w:rFonts w:cs="Times New Roman"/>
          <w:sz w:val="24"/>
          <w:lang w:val="fr-FR" w:eastAsia="fr-FR"/>
        </w:rPr>
        <w:tab/>
        <w:t>Systèmes du second ordre RLC</w:t>
      </w: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4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>La resonance serie et parallele</w:t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</w:t>
      </w:r>
      <w:r w:rsidRPr="00AF6175">
        <w:rPr>
          <w:rFonts w:cs="Times New Roman"/>
          <w:sz w:val="24"/>
          <w:lang w:val="fr-FR" w:eastAsia="fr-FR"/>
        </w:rPr>
        <w:t>.1</w:t>
      </w:r>
      <w:r w:rsidRPr="00AF6175">
        <w:rPr>
          <w:rFonts w:cs="Times New Roman"/>
          <w:sz w:val="24"/>
          <w:lang w:val="fr-FR" w:eastAsia="fr-FR"/>
        </w:rPr>
        <w:tab/>
        <w:t>Résonance série (impédance, admittance, fréquence de résonance et bande passante)</w:t>
      </w:r>
    </w:p>
    <w:p w:rsidR="001E0189" w:rsidRPr="00377908" w:rsidRDefault="001E0189" w:rsidP="001E0189">
      <w:pPr>
        <w:ind w:left="426" w:hanging="426"/>
        <w:contextualSpacing/>
        <w:jc w:val="lowKashida"/>
        <w:rPr>
          <w:rFonts w:cs="Times New Roman"/>
          <w:sz w:val="22"/>
          <w:szCs w:val="26"/>
          <w:lang w:val="fr-FR" w:eastAsia="fr-FR"/>
        </w:rPr>
      </w:pPr>
      <w:r>
        <w:rPr>
          <w:rFonts w:cs="Times New Roman"/>
          <w:sz w:val="24"/>
          <w:lang w:val="fr-FR" w:eastAsia="fr-FR"/>
        </w:rPr>
        <w:t>4</w:t>
      </w:r>
      <w:r w:rsidRPr="00AF6175">
        <w:rPr>
          <w:rFonts w:cs="Times New Roman"/>
          <w:sz w:val="24"/>
          <w:lang w:val="fr-FR" w:eastAsia="fr-FR"/>
        </w:rPr>
        <w:t>.2</w:t>
      </w:r>
      <w:r w:rsidRPr="00AF6175">
        <w:rPr>
          <w:rFonts w:cs="Times New Roman"/>
          <w:sz w:val="24"/>
          <w:lang w:val="fr-FR" w:eastAsia="fr-FR"/>
        </w:rPr>
        <w:tab/>
        <w:t>Résonance parallèle (impédance, admittance, fréquence de résonance et bande passante)</w:t>
      </w:r>
    </w:p>
    <w:p w:rsidR="00C06575" w:rsidRDefault="00C06575" w:rsidP="001E0189">
      <w:pPr>
        <w:pStyle w:val="Title"/>
        <w:contextualSpacing/>
        <w:rPr>
          <w:rFonts w:ascii="Times New Roman" w:hAnsi="Times New Roman" w:cs="Times New Roman"/>
          <w:u w:val="single"/>
        </w:rPr>
      </w:pPr>
    </w:p>
    <w:p w:rsidR="00C06575" w:rsidRDefault="00C06575" w:rsidP="001E0189">
      <w:pPr>
        <w:pStyle w:val="Title"/>
        <w:contextualSpacing/>
        <w:rPr>
          <w:rFonts w:ascii="Times New Roman" w:hAnsi="Times New Roman" w:cs="Times New Roman"/>
          <w:u w:val="single"/>
        </w:rPr>
      </w:pP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lastRenderedPageBreak/>
        <w:t>Chapitre 5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>Les quadr</w:t>
      </w:r>
      <w:r>
        <w:rPr>
          <w:rFonts w:ascii="Times New Roman" w:hAnsi="Times New Roman" w:cs="Times New Roman"/>
        </w:rPr>
        <w:t>I</w:t>
      </w:r>
      <w:r w:rsidRPr="00377908">
        <w:rPr>
          <w:rFonts w:ascii="Times New Roman" w:hAnsi="Times New Roman" w:cs="Times New Roman"/>
        </w:rPr>
        <w:t xml:space="preserve">poles </w:t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</w:t>
      </w:r>
      <w:r w:rsidRPr="00AF6175">
        <w:rPr>
          <w:rFonts w:cs="Times New Roman"/>
          <w:sz w:val="24"/>
          <w:lang w:val="fr-FR" w:eastAsia="fr-FR"/>
        </w:rPr>
        <w:t>.1</w:t>
      </w:r>
      <w:r w:rsidRPr="00AF6175">
        <w:rPr>
          <w:rFonts w:cs="Times New Roman"/>
          <w:sz w:val="24"/>
          <w:lang w:val="fr-FR" w:eastAsia="fr-FR"/>
        </w:rPr>
        <w:tab/>
        <w:t>Représentations matricielles : matrices d’impédance, admittance, hybride et de transfert.</w:t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</w:t>
      </w:r>
      <w:r w:rsidRPr="00AF6175">
        <w:rPr>
          <w:rFonts w:cs="Times New Roman"/>
          <w:sz w:val="24"/>
          <w:lang w:val="fr-FR" w:eastAsia="fr-FR"/>
        </w:rPr>
        <w:t>.2</w:t>
      </w:r>
      <w:r w:rsidRPr="00AF6175">
        <w:rPr>
          <w:rFonts w:cs="Times New Roman"/>
          <w:sz w:val="24"/>
          <w:lang w:val="fr-FR" w:eastAsia="fr-FR"/>
        </w:rPr>
        <w:tab/>
        <w:t>Impédance image</w:t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/>
        </w:rPr>
      </w:pPr>
      <w:r>
        <w:rPr>
          <w:rFonts w:cs="Times New Roman"/>
          <w:sz w:val="24"/>
          <w:lang w:val="fr-FR" w:eastAsia="fr-FR"/>
        </w:rPr>
        <w:t>5</w:t>
      </w:r>
      <w:r w:rsidRPr="00AF6175">
        <w:rPr>
          <w:rFonts w:cs="Times New Roman"/>
          <w:sz w:val="24"/>
          <w:lang w:val="fr-FR" w:eastAsia="fr-FR"/>
        </w:rPr>
        <w:t>.3</w:t>
      </w:r>
      <w:r w:rsidRPr="00AF6175">
        <w:rPr>
          <w:rFonts w:cs="Times New Roman"/>
          <w:sz w:val="24"/>
          <w:lang w:val="fr-FR" w:eastAsia="fr-FR"/>
        </w:rPr>
        <w:tab/>
        <w:t>Associations des quadripôles</w:t>
      </w:r>
      <w:r w:rsidRPr="00AF6175">
        <w:rPr>
          <w:rFonts w:cs="Times New Roman"/>
          <w:sz w:val="24"/>
          <w:lang w:val="fr-FR"/>
        </w:rPr>
        <w:t xml:space="preserve"> en cascade, série, parallèle, série parallèle, et parallèle série</w:t>
      </w: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6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>Filtres passifs</w:t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</w:rPr>
        <w:t xml:space="preserve"> </w:t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F6175">
        <w:rPr>
          <w:rFonts w:cs="Times New Roman"/>
          <w:sz w:val="24"/>
          <w:lang w:val="fr-FR" w:eastAsia="fr-FR"/>
        </w:rPr>
        <w:t>.1</w:t>
      </w:r>
      <w:r w:rsidRPr="00AF6175">
        <w:rPr>
          <w:rFonts w:cs="Times New Roman"/>
          <w:sz w:val="24"/>
          <w:lang w:val="fr-FR" w:eastAsia="fr-FR"/>
        </w:rPr>
        <w:tab/>
        <w:t>Diagramme d’amplitude et de phase (gain logarithmique)</w:t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F6175">
        <w:rPr>
          <w:rFonts w:cs="Times New Roman"/>
          <w:sz w:val="24"/>
          <w:lang w:val="fr-FR" w:eastAsia="fr-FR"/>
        </w:rPr>
        <w:t>.2</w:t>
      </w:r>
      <w:r w:rsidRPr="00AF6175">
        <w:rPr>
          <w:rFonts w:cs="Times New Roman"/>
          <w:sz w:val="24"/>
          <w:lang w:val="fr-FR" w:eastAsia="fr-FR"/>
        </w:rPr>
        <w:tab/>
        <w:t>Filtres du 1er ordre (passe bas et passe haut)</w:t>
      </w: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F6175">
        <w:rPr>
          <w:rFonts w:cs="Times New Roman"/>
          <w:sz w:val="24"/>
          <w:lang w:val="fr-FR" w:eastAsia="fr-FR"/>
        </w:rPr>
        <w:t>.3</w:t>
      </w:r>
      <w:r w:rsidRPr="00AF6175">
        <w:rPr>
          <w:rFonts w:cs="Times New Roman"/>
          <w:sz w:val="24"/>
          <w:lang w:val="fr-FR" w:eastAsia="fr-FR"/>
        </w:rPr>
        <w:tab/>
        <w:t>Filtres du 2ème ordre (passe bas, passe haut, passe bande et coupe bande)</w:t>
      </w:r>
    </w:p>
    <w:p w:rsidR="001E0189" w:rsidRDefault="001E0189" w:rsidP="001E0189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>Chapitre 7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>Tensions et courants triphases</w:t>
      </w:r>
    </w:p>
    <w:p w:rsidR="001E0189" w:rsidRPr="00377908" w:rsidRDefault="001E0189" w:rsidP="001E0189">
      <w:pPr>
        <w:pStyle w:val="Title"/>
        <w:contextualSpacing/>
        <w:rPr>
          <w:rFonts w:ascii="Times New Roman" w:hAnsi="Times New Roman" w:cs="Times New Roman"/>
        </w:rPr>
      </w:pPr>
    </w:p>
    <w:p w:rsidR="001E0189" w:rsidRPr="00AF6175" w:rsidRDefault="001E0189" w:rsidP="001E0189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7.1</w:t>
      </w:r>
      <w:r w:rsidRPr="00AF6175">
        <w:rPr>
          <w:rFonts w:cs="Times New Roman"/>
          <w:sz w:val="24"/>
          <w:lang w:val="fr-FR" w:eastAsia="fr-FR"/>
        </w:rPr>
        <w:tab/>
        <w:t>Montages étoile et triangle (</w:t>
      </w:r>
      <w:r w:rsidRPr="00AF6175">
        <w:rPr>
          <w:rFonts w:cs="Times New Roman"/>
          <w:sz w:val="24"/>
          <w:lang w:val="fr-FR"/>
        </w:rPr>
        <w:sym w:font="Symbol" w:char="F055"/>
      </w:r>
      <w:r w:rsidRPr="00AF6175">
        <w:rPr>
          <w:rFonts w:cs="Times New Roman"/>
          <w:sz w:val="24"/>
          <w:lang w:val="fr-FR" w:eastAsia="fr-FR"/>
        </w:rPr>
        <w:t xml:space="preserve"> et</w:t>
      </w:r>
      <w:r>
        <w:rPr>
          <w:rFonts w:cs="Times New Roman"/>
          <w:sz w:val="24"/>
          <w:lang w:val="fr-FR" w:eastAsia="fr-FR"/>
        </w:rPr>
        <w:t xml:space="preserve"> </w:t>
      </w:r>
      <w:r w:rsidRPr="00AF6175">
        <w:rPr>
          <w:rFonts w:cs="Times New Roman"/>
          <w:sz w:val="24"/>
          <w:lang w:val="fr-FR"/>
        </w:rPr>
        <w:sym w:font="Symbol" w:char="F044"/>
      </w:r>
      <w:r w:rsidRPr="00AF6175">
        <w:rPr>
          <w:rFonts w:cs="Times New Roman"/>
          <w:sz w:val="24"/>
          <w:lang w:val="fr-FR" w:eastAsia="fr-FR"/>
        </w:rPr>
        <w:t xml:space="preserve">) 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7.2</w:t>
      </w:r>
      <w:r w:rsidRPr="00AF6175">
        <w:rPr>
          <w:rFonts w:cs="Times New Roman"/>
          <w:sz w:val="24"/>
          <w:lang w:val="fr-FR" w:eastAsia="fr-FR"/>
        </w:rPr>
        <w:tab/>
        <w:t>Système triphasé équilibré</w:t>
      </w:r>
    </w:p>
    <w:p w:rsidR="001E0189" w:rsidRPr="00AF6175" w:rsidRDefault="001E0189" w:rsidP="001E0189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7.3</w:t>
      </w:r>
      <w:r w:rsidRPr="00AF6175">
        <w:rPr>
          <w:rFonts w:cs="Times New Roman"/>
          <w:sz w:val="24"/>
          <w:lang w:val="fr-FR" w:eastAsia="fr-FR"/>
        </w:rPr>
        <w:tab/>
        <w:t>Système triphasé déséquilibré</w:t>
      </w:r>
    </w:p>
    <w:p w:rsidR="001E0189" w:rsidRDefault="001E0189" w:rsidP="000D523C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F6175">
        <w:rPr>
          <w:rFonts w:cs="Times New Roman"/>
          <w:sz w:val="24"/>
          <w:lang w:val="fr-FR" w:eastAsia="fr-FR"/>
        </w:rPr>
        <w:t>7.4</w:t>
      </w:r>
      <w:r w:rsidRPr="00AF6175">
        <w:rPr>
          <w:rFonts w:cs="Times New Roman"/>
          <w:sz w:val="24"/>
          <w:lang w:val="fr-FR" w:eastAsia="fr-FR"/>
        </w:rPr>
        <w:tab/>
        <w:t>Puissance délivrée à des charges triphasées</w:t>
      </w: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  <w:bookmarkStart w:id="1" w:name="_GoBack"/>
      <w:bookmarkEnd w:id="1"/>
    </w:p>
    <w:sectPr w:rsidR="00E57FD0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0B1A"/>
    <w:rsid w:val="0058606A"/>
    <w:rsid w:val="005869C9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03ADB-59EA-4B47-9F17-C3B21861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9</cp:revision>
  <cp:lastPrinted>2014-08-03T12:42:00Z</cp:lastPrinted>
  <dcterms:created xsi:type="dcterms:W3CDTF">2014-09-10T05:24:00Z</dcterms:created>
  <dcterms:modified xsi:type="dcterms:W3CDTF">2019-07-24T06:40:00Z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